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FF9B" w14:textId="77777777" w:rsidR="00985677" w:rsidRDefault="00265A9A" w:rsidP="00265A9A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  <w:r>
        <w:rPr>
          <w:rFonts w:ascii="Verdana" w:hAnsi="Verdana"/>
          <w:b/>
          <w:bCs/>
          <w:caps/>
          <w:color w:val="000000"/>
          <w:shd w:val="clear" w:color="auto" w:fill="FFFFFF"/>
        </w:rPr>
        <w:t>Reglur fyri útgjald</w:t>
      </w:r>
      <w:r>
        <w:rPr>
          <w:rFonts w:ascii="Verdana" w:hAnsi="Verdana"/>
          <w:b/>
          <w:bCs/>
          <w:caps/>
          <w:color w:val="000000"/>
          <w:shd w:val="clear" w:color="auto" w:fill="FFFFFF"/>
        </w:rPr>
        <w:tab/>
      </w:r>
      <w:r>
        <w:rPr>
          <w:rFonts w:ascii="Verdana" w:hAnsi="Verdana"/>
          <w:b/>
          <w:bCs/>
          <w:caps/>
          <w:color w:val="000000"/>
          <w:shd w:val="clear" w:color="auto" w:fill="FFFFFF"/>
        </w:rPr>
        <w:tab/>
      </w:r>
    </w:p>
    <w:p w14:paraId="1244A8E8" w14:textId="79130924" w:rsidR="004D78EE" w:rsidRPr="00985677" w:rsidRDefault="004D78EE" w:rsidP="00C04E1F">
      <w:pPr>
        <w:rPr>
          <w:rFonts w:ascii="Verdana" w:hAnsi="Verdana"/>
          <w:caps/>
          <w:color w:val="000000"/>
          <w:shd w:val="clear" w:color="auto" w:fill="FFFFFF"/>
        </w:rPr>
      </w:pPr>
    </w:p>
    <w:p w14:paraId="6F10787D" w14:textId="77777777" w:rsidR="004D78EE" w:rsidRDefault="004D78EE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</w:p>
    <w:p w14:paraId="65EB33B1" w14:textId="77777777" w:rsidR="00742A66" w:rsidRDefault="00742A66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</w:p>
    <w:p w14:paraId="0B2AF6E1" w14:textId="77777777" w:rsidR="00265A9A" w:rsidRDefault="00265A9A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</w:p>
    <w:p w14:paraId="0A4DC698" w14:textId="77777777" w:rsidR="00265A9A" w:rsidRDefault="00265A9A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</w:p>
    <w:p w14:paraId="64C8792D" w14:textId="77777777" w:rsidR="00742A66" w:rsidRDefault="00742A66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</w:p>
    <w:p w14:paraId="79DDA9E2" w14:textId="77777777" w:rsidR="00AF68F4" w:rsidRPr="00680DBE" w:rsidRDefault="00CF289E">
      <w:pPr>
        <w:rPr>
          <w:rFonts w:ascii="Verdana" w:hAnsi="Verdana"/>
          <w:b/>
          <w:bCs/>
          <w:caps/>
          <w:color w:val="000000"/>
          <w:shd w:val="clear" w:color="auto" w:fill="FFFFFF"/>
        </w:rPr>
      </w:pPr>
      <w:r w:rsidRPr="00680DBE">
        <w:rPr>
          <w:rFonts w:ascii="Verdana" w:hAnsi="Verdana"/>
          <w:b/>
          <w:bCs/>
          <w:caps/>
          <w:color w:val="000000"/>
          <w:shd w:val="clear" w:color="auto" w:fill="FFFFFF"/>
        </w:rPr>
        <w:t>Umbøn um útgjald</w:t>
      </w:r>
      <w:r w:rsidR="004D78EE">
        <w:rPr>
          <w:rFonts w:ascii="Verdana" w:hAnsi="Verdana"/>
          <w:b/>
          <w:bCs/>
          <w:caps/>
          <w:color w:val="000000"/>
          <w:shd w:val="clear" w:color="auto" w:fill="FFFFFF"/>
        </w:rPr>
        <w:tab/>
      </w:r>
      <w:r w:rsidR="004D78EE">
        <w:rPr>
          <w:rFonts w:ascii="Verdana" w:hAnsi="Verdana"/>
          <w:b/>
          <w:bCs/>
          <w:caps/>
          <w:color w:val="000000"/>
          <w:shd w:val="clear" w:color="auto" w:fill="FFFFFF"/>
        </w:rPr>
        <w:tab/>
        <w:t xml:space="preserve">              </w:t>
      </w:r>
    </w:p>
    <w:p w14:paraId="47CB2A94" w14:textId="77777777" w:rsidR="00CF289E" w:rsidRPr="00133DBC" w:rsidRDefault="00CF289E"/>
    <w:p w14:paraId="582D43C2" w14:textId="77777777" w:rsidR="00CF289E" w:rsidRPr="00133DBC" w:rsidRDefault="00CF289E" w:rsidP="004D78EE">
      <w:pPr>
        <w:jc w:val="both"/>
        <w:rPr>
          <w:rFonts w:ascii="Verdana" w:hAnsi="Verdana"/>
        </w:rPr>
      </w:pPr>
      <w:proofErr w:type="spellStart"/>
      <w:r w:rsidRPr="00133DBC">
        <w:rPr>
          <w:rFonts w:ascii="Verdana" w:hAnsi="Verdana"/>
        </w:rPr>
        <w:t>Árliga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játtanin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verður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goldin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út</w:t>
      </w:r>
      <w:proofErr w:type="spellEnd"/>
      <w:r w:rsidRPr="00133DBC">
        <w:rPr>
          <w:rFonts w:ascii="Verdana" w:hAnsi="Verdana"/>
        </w:rPr>
        <w:t xml:space="preserve"> í </w:t>
      </w:r>
      <w:proofErr w:type="spellStart"/>
      <w:r w:rsidRPr="00133DBC">
        <w:rPr>
          <w:rFonts w:ascii="Verdana" w:hAnsi="Verdana"/>
        </w:rPr>
        <w:t>tveimum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ella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="004D78EE" w:rsidRPr="00133DBC">
        <w:rPr>
          <w:rFonts w:ascii="Verdana" w:hAnsi="Verdana"/>
        </w:rPr>
        <w:t>trimum</w:t>
      </w:r>
      <w:proofErr w:type="spellEnd"/>
      <w:r w:rsidR="004D78EE" w:rsidRPr="00133DBC">
        <w:rPr>
          <w:rFonts w:ascii="Verdana" w:hAnsi="Verdana"/>
        </w:rPr>
        <w:t xml:space="preserve"> gjøldum - </w:t>
      </w:r>
      <w:proofErr w:type="spellStart"/>
      <w:r w:rsidR="004D78EE" w:rsidRPr="00133DBC">
        <w:rPr>
          <w:rFonts w:ascii="Verdana" w:hAnsi="Verdana"/>
        </w:rPr>
        <w:t>eftir</w:t>
      </w:r>
      <w:proofErr w:type="spellEnd"/>
      <w:r w:rsidR="004D78EE" w:rsidRPr="00133DBC">
        <w:rPr>
          <w:rFonts w:ascii="Verdana" w:hAnsi="Verdana"/>
        </w:rPr>
        <w:t xml:space="preserve"> </w:t>
      </w:r>
      <w:proofErr w:type="spellStart"/>
      <w:r w:rsidR="004D78EE" w:rsidRPr="00133DBC">
        <w:rPr>
          <w:rFonts w:ascii="Verdana" w:hAnsi="Verdana"/>
        </w:rPr>
        <w:t>umsókn</w:t>
      </w:r>
      <w:proofErr w:type="spellEnd"/>
      <w:r w:rsidR="004D78EE" w:rsidRPr="00133DBC">
        <w:rPr>
          <w:rFonts w:ascii="Verdana" w:hAnsi="Verdana"/>
        </w:rPr>
        <w:t xml:space="preserve"> -</w:t>
      </w:r>
      <w:r w:rsidRPr="00133DBC">
        <w:rPr>
          <w:rFonts w:ascii="Verdana" w:hAnsi="Verdana"/>
        </w:rPr>
        <w:t xml:space="preserve">alt </w:t>
      </w:r>
      <w:proofErr w:type="spellStart"/>
      <w:r w:rsidRPr="00133DBC">
        <w:rPr>
          <w:rFonts w:ascii="Verdana" w:hAnsi="Verdana"/>
        </w:rPr>
        <w:t>eftir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um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verkætlanin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gongur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yvir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eitt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ella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fleiri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ár</w:t>
      </w:r>
      <w:proofErr w:type="spellEnd"/>
      <w:r w:rsidRPr="00133DBC">
        <w:rPr>
          <w:rFonts w:ascii="Verdana" w:hAnsi="Verdana"/>
        </w:rPr>
        <w:t>:</w:t>
      </w:r>
    </w:p>
    <w:p w14:paraId="5B8D5B11" w14:textId="77777777" w:rsidR="00CF289E" w:rsidRPr="00133DBC" w:rsidRDefault="00CF289E" w:rsidP="004D78EE">
      <w:pPr>
        <w:jc w:val="both"/>
        <w:rPr>
          <w:rFonts w:ascii="Verdana" w:hAnsi="Verdana"/>
        </w:rPr>
      </w:pPr>
    </w:p>
    <w:p w14:paraId="58EB831A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  <w:proofErr w:type="spellStart"/>
      <w:r w:rsidRPr="00133DBC">
        <w:rPr>
          <w:rFonts w:ascii="Verdana" w:hAnsi="Verdana"/>
          <w:b/>
          <w:u w:val="single"/>
        </w:rPr>
        <w:t>Gongur</w:t>
      </w:r>
      <w:proofErr w:type="spellEnd"/>
      <w:r w:rsidRPr="00133DBC">
        <w:rPr>
          <w:rFonts w:ascii="Verdana" w:hAnsi="Verdana"/>
          <w:b/>
          <w:u w:val="single"/>
        </w:rPr>
        <w:t xml:space="preserve"> </w:t>
      </w:r>
      <w:proofErr w:type="spellStart"/>
      <w:r w:rsidRPr="00133DBC">
        <w:rPr>
          <w:rFonts w:ascii="Verdana" w:hAnsi="Verdana"/>
          <w:b/>
          <w:u w:val="single"/>
        </w:rPr>
        <w:t>verkætlanin</w:t>
      </w:r>
      <w:proofErr w:type="spellEnd"/>
      <w:r w:rsidRPr="00133DBC">
        <w:rPr>
          <w:rFonts w:ascii="Verdana" w:hAnsi="Verdana"/>
          <w:b/>
          <w:u w:val="single"/>
        </w:rPr>
        <w:t xml:space="preserve"> </w:t>
      </w:r>
      <w:proofErr w:type="spellStart"/>
      <w:r w:rsidRPr="00133DBC">
        <w:rPr>
          <w:rFonts w:ascii="Verdana" w:hAnsi="Verdana"/>
          <w:b/>
          <w:u w:val="single"/>
        </w:rPr>
        <w:t>yvir</w:t>
      </w:r>
      <w:proofErr w:type="spellEnd"/>
      <w:r w:rsidRPr="00133DBC">
        <w:rPr>
          <w:rFonts w:ascii="Verdana" w:hAnsi="Verdana"/>
          <w:b/>
          <w:u w:val="single"/>
        </w:rPr>
        <w:t xml:space="preserve"> </w:t>
      </w:r>
      <w:proofErr w:type="spellStart"/>
      <w:r w:rsidRPr="00133DBC">
        <w:rPr>
          <w:rFonts w:ascii="Verdana" w:hAnsi="Verdana"/>
          <w:b/>
          <w:u w:val="single"/>
        </w:rPr>
        <w:t>eitt</w:t>
      </w:r>
      <w:proofErr w:type="spellEnd"/>
      <w:r w:rsidRPr="00133DBC">
        <w:rPr>
          <w:rFonts w:ascii="Verdana" w:hAnsi="Verdana"/>
          <w:b/>
          <w:u w:val="single"/>
        </w:rPr>
        <w:t xml:space="preserve"> </w:t>
      </w:r>
      <w:proofErr w:type="spellStart"/>
      <w:r w:rsidRPr="00133DBC">
        <w:rPr>
          <w:rFonts w:ascii="Verdana" w:hAnsi="Verdana"/>
          <w:b/>
          <w:u w:val="single"/>
        </w:rPr>
        <w:t>ár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verða</w:t>
      </w:r>
      <w:proofErr w:type="spellEnd"/>
      <w:r w:rsidRPr="00133DBC">
        <w:rPr>
          <w:rFonts w:ascii="Verdana" w:hAnsi="Verdana"/>
        </w:rPr>
        <w:t xml:space="preserve"> 50% av </w:t>
      </w:r>
      <w:proofErr w:type="spellStart"/>
      <w:r w:rsidRPr="00133DBC">
        <w:rPr>
          <w:rFonts w:ascii="Verdana" w:hAnsi="Verdana"/>
        </w:rPr>
        <w:t>upphæddini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útgoldin</w:t>
      </w:r>
      <w:proofErr w:type="spellEnd"/>
      <w:r w:rsidRPr="00133DBC">
        <w:rPr>
          <w:rFonts w:ascii="Verdana" w:hAnsi="Verdana"/>
        </w:rPr>
        <w:t xml:space="preserve">, </w:t>
      </w:r>
      <w:proofErr w:type="spellStart"/>
      <w:r w:rsidRPr="00133DBC">
        <w:rPr>
          <w:rFonts w:ascii="Verdana" w:hAnsi="Verdana"/>
        </w:rPr>
        <w:t>tá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verkætlanin</w:t>
      </w:r>
      <w:proofErr w:type="spellEnd"/>
      <w:r w:rsidRPr="00133DBC">
        <w:rPr>
          <w:rFonts w:ascii="Verdana" w:hAnsi="Verdana"/>
        </w:rPr>
        <w:t xml:space="preserve"> </w:t>
      </w:r>
      <w:proofErr w:type="spellStart"/>
      <w:r w:rsidRPr="00133DBC">
        <w:rPr>
          <w:rFonts w:ascii="Verdana" w:hAnsi="Verdana"/>
        </w:rPr>
        <w:t>byrjar</w:t>
      </w:r>
      <w:proofErr w:type="spellEnd"/>
      <w:r w:rsidRPr="00133DBC">
        <w:rPr>
          <w:rFonts w:ascii="Verdana" w:hAnsi="Verdana"/>
        </w:rPr>
        <w:t xml:space="preserve">. </w:t>
      </w:r>
      <w:r w:rsidRPr="00680DBE">
        <w:rPr>
          <w:rFonts w:ascii="Verdana" w:hAnsi="Verdana"/>
          <w:lang w:val="nb-NO"/>
        </w:rPr>
        <w:t>35% av upphæddini verða útgoldin, tá helvtin av tíð</w:t>
      </w:r>
      <w:r w:rsidRPr="00680DBE">
        <w:rPr>
          <w:rFonts w:ascii="Verdana" w:hAnsi="Verdana"/>
          <w:lang w:val="nb-NO"/>
        </w:rPr>
        <w:softHyphen/>
        <w:t>ar</w:t>
      </w:r>
      <w:r w:rsidRPr="00680DBE">
        <w:rPr>
          <w:rFonts w:ascii="Verdana" w:hAnsi="Verdana"/>
          <w:lang w:val="nb-NO"/>
        </w:rPr>
        <w:softHyphen/>
        <w:t>skeiðinum er farið, og ein ávegis</w:t>
      </w:r>
      <w:r w:rsidRPr="00680DBE">
        <w:rPr>
          <w:rFonts w:ascii="Verdana" w:hAnsi="Verdana"/>
          <w:lang w:val="nb-NO"/>
        </w:rPr>
        <w:softHyphen/>
        <w:t>frá</w:t>
      </w:r>
      <w:r w:rsidRPr="00680DBE">
        <w:rPr>
          <w:rFonts w:ascii="Verdana" w:hAnsi="Verdana"/>
          <w:lang w:val="nb-NO"/>
        </w:rPr>
        <w:softHyphen/>
        <w:t xml:space="preserve">greiðing er send inn (treyt). </w:t>
      </w:r>
    </w:p>
    <w:p w14:paraId="5E1153CF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  <w:r w:rsidRPr="00680DBE">
        <w:rPr>
          <w:rFonts w:ascii="Verdana" w:hAnsi="Verdana"/>
          <w:lang w:val="nb-NO"/>
        </w:rPr>
        <w:t>Seinastu 15% verða goldin út, tá endalig frágreiðing (íroknað saman</w:t>
      </w:r>
      <w:r w:rsidR="004D78EE">
        <w:rPr>
          <w:rFonts w:ascii="Verdana" w:hAnsi="Verdana"/>
          <w:lang w:val="nb-NO"/>
        </w:rPr>
        <w:softHyphen/>
      </w:r>
      <w:r w:rsidRPr="00680DBE">
        <w:rPr>
          <w:rFonts w:ascii="Verdana" w:hAnsi="Verdana"/>
          <w:lang w:val="nb-NO"/>
        </w:rPr>
        <w:t>drátt til heimasíðuna), og grannskoðaður/áteknaður roknskapur fyri tíðar</w:t>
      </w:r>
      <w:r w:rsidRPr="00680DBE">
        <w:rPr>
          <w:rFonts w:ascii="Verdana" w:hAnsi="Verdana"/>
          <w:lang w:val="nb-NO"/>
        </w:rPr>
        <w:softHyphen/>
        <w:t>skeiðið eru send inn (treyt).</w:t>
      </w:r>
    </w:p>
    <w:p w14:paraId="59C92475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</w:p>
    <w:p w14:paraId="14888ACD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  <w:r w:rsidRPr="00680DBE">
        <w:rPr>
          <w:rFonts w:ascii="Verdana" w:hAnsi="Verdana"/>
          <w:b/>
          <w:u w:val="single"/>
          <w:lang w:val="nb-NO"/>
        </w:rPr>
        <w:t>Gongur verkætlanin yvir fleiri ár</w:t>
      </w:r>
      <w:r w:rsidRPr="00680DBE">
        <w:rPr>
          <w:rFonts w:ascii="Verdana" w:hAnsi="Verdana"/>
          <w:lang w:val="nb-NO"/>
        </w:rPr>
        <w:t xml:space="preserve"> verða 50% av upphæddini útgoldin, tá verkætl</w:t>
      </w:r>
      <w:r w:rsidRPr="00680DBE">
        <w:rPr>
          <w:rFonts w:ascii="Verdana" w:hAnsi="Verdana"/>
          <w:lang w:val="nb-NO"/>
        </w:rPr>
        <w:softHyphen/>
        <w:t>anin byrjar og 50 %, tá helvtin av tíð</w:t>
      </w:r>
      <w:r w:rsidRPr="00680DBE">
        <w:rPr>
          <w:rFonts w:ascii="Verdana" w:hAnsi="Verdana"/>
          <w:lang w:val="nb-NO"/>
        </w:rPr>
        <w:softHyphen/>
        <w:t>ar</w:t>
      </w:r>
      <w:r w:rsidRPr="00680DBE">
        <w:rPr>
          <w:rFonts w:ascii="Verdana" w:hAnsi="Verdana"/>
          <w:lang w:val="nb-NO"/>
        </w:rPr>
        <w:softHyphen/>
        <w:t>skeiðinum fyrsta árið er farið, og ein ávegisfrá</w:t>
      </w:r>
      <w:r w:rsidRPr="00680DBE">
        <w:rPr>
          <w:rFonts w:ascii="Verdana" w:hAnsi="Verdana"/>
          <w:lang w:val="nb-NO"/>
        </w:rPr>
        <w:softHyphen/>
        <w:t>greiðing er send inn (treyt).</w:t>
      </w:r>
    </w:p>
    <w:p w14:paraId="55419C55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  <w:r w:rsidRPr="00680DBE">
        <w:rPr>
          <w:rFonts w:ascii="Verdana" w:hAnsi="Verdana"/>
          <w:lang w:val="nb-NO"/>
        </w:rPr>
        <w:t>Annað árið verða 50% av játtaðu upphæddini fyri annað árið útgoldin, tá ávegisfrá</w:t>
      </w:r>
      <w:r w:rsidRPr="00680DBE">
        <w:rPr>
          <w:rFonts w:ascii="Verdana" w:hAnsi="Verdana"/>
          <w:lang w:val="nb-NO"/>
        </w:rPr>
        <w:softHyphen/>
        <w:t>greið</w:t>
      </w:r>
      <w:r w:rsidRPr="00680DBE">
        <w:rPr>
          <w:rFonts w:ascii="Verdana" w:hAnsi="Verdana"/>
          <w:lang w:val="nb-NO"/>
        </w:rPr>
        <w:softHyphen/>
        <w:t>ing (ársfrá</w:t>
      </w:r>
      <w:r w:rsidRPr="00680DBE">
        <w:rPr>
          <w:rFonts w:ascii="Verdana" w:hAnsi="Verdana"/>
          <w:lang w:val="nb-NO"/>
        </w:rPr>
        <w:softHyphen/>
      </w:r>
      <w:r w:rsidRPr="00680DBE">
        <w:rPr>
          <w:rFonts w:ascii="Verdana" w:hAnsi="Verdana"/>
          <w:lang w:val="nb-NO"/>
        </w:rPr>
        <w:softHyphen/>
        <w:t>greiðing) og grann</w:t>
      </w:r>
      <w:r w:rsidR="004D78EE">
        <w:rPr>
          <w:rFonts w:ascii="Verdana" w:hAnsi="Verdana"/>
          <w:lang w:val="nb-NO"/>
        </w:rPr>
        <w:softHyphen/>
      </w:r>
      <w:r w:rsidRPr="00680DBE">
        <w:rPr>
          <w:rFonts w:ascii="Verdana" w:hAnsi="Verdana"/>
          <w:lang w:val="nb-NO"/>
        </w:rPr>
        <w:t>skoð</w:t>
      </w:r>
      <w:r w:rsidR="004D78EE">
        <w:rPr>
          <w:rFonts w:ascii="Verdana" w:hAnsi="Verdana"/>
          <w:lang w:val="nb-NO"/>
        </w:rPr>
        <w:softHyphen/>
      </w:r>
      <w:r w:rsidRPr="00680DBE">
        <w:rPr>
          <w:rFonts w:ascii="Verdana" w:hAnsi="Verdana"/>
          <w:lang w:val="nb-NO"/>
        </w:rPr>
        <w:t>aður/áteknaður roknskapur fyri undan</w:t>
      </w:r>
      <w:r w:rsidRPr="00680DBE">
        <w:rPr>
          <w:rFonts w:ascii="Verdana" w:hAnsi="Verdana"/>
          <w:lang w:val="nb-NO"/>
        </w:rPr>
        <w:softHyphen/>
        <w:t>farna árið eru send inn (treyt).</w:t>
      </w:r>
    </w:p>
    <w:p w14:paraId="51175C1E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  <w:r w:rsidRPr="00680DBE">
        <w:rPr>
          <w:rFonts w:ascii="Verdana" w:hAnsi="Verdana"/>
          <w:lang w:val="nb-NO"/>
        </w:rPr>
        <w:t>Endar verkætlanin annað árið verður seinasta útgjaldið býtt í tvey (35% og 15%) eins og fyri verkætlanir, sum ganga yvir eitt ár.</w:t>
      </w:r>
    </w:p>
    <w:p w14:paraId="0835D2AE" w14:textId="77777777" w:rsidR="00CF289E" w:rsidRDefault="00CF289E" w:rsidP="004D78EE">
      <w:pPr>
        <w:jc w:val="both"/>
        <w:rPr>
          <w:rFonts w:ascii="Verdana" w:hAnsi="Verdana"/>
          <w:lang w:val="nb-NO"/>
        </w:rPr>
      </w:pPr>
      <w:r w:rsidRPr="00680DBE">
        <w:rPr>
          <w:rFonts w:ascii="Verdana" w:hAnsi="Verdana"/>
          <w:lang w:val="nb-NO"/>
        </w:rPr>
        <w:t>Er talan um 3 ára verkætlan verður játtanin annað árið kortini goldin út í tveimum (2 gjøld á 50%).</w:t>
      </w:r>
    </w:p>
    <w:p w14:paraId="13E00048" w14:textId="77777777" w:rsidR="00133DBC" w:rsidRPr="00680DBE" w:rsidRDefault="00B54A46" w:rsidP="00133DBC">
      <w:pPr>
        <w:jc w:val="both"/>
        <w:rPr>
          <w:rFonts w:ascii="Verdana" w:hAnsi="Verdana"/>
          <w:lang w:val="nb-NO"/>
        </w:rPr>
      </w:pPr>
      <w:r>
        <w:rPr>
          <w:rFonts w:ascii="Verdana" w:hAnsi="Verdana"/>
          <w:highlight w:val="yellow"/>
          <w:lang w:val="nb-NO"/>
        </w:rPr>
        <w:t>Tá verk</w:t>
      </w:r>
      <w:r w:rsidR="00133DBC" w:rsidRPr="00133DBC">
        <w:rPr>
          <w:rFonts w:ascii="Verdana" w:hAnsi="Verdana"/>
          <w:highlight w:val="yellow"/>
          <w:lang w:val="nb-NO"/>
        </w:rPr>
        <w:t>ætlani</w:t>
      </w:r>
      <w:r>
        <w:rPr>
          <w:rFonts w:ascii="Verdana" w:hAnsi="Verdana"/>
          <w:highlight w:val="yellow"/>
          <w:lang w:val="nb-NO"/>
        </w:rPr>
        <w:t>n</w:t>
      </w:r>
      <w:r w:rsidR="00133DBC" w:rsidRPr="00133DBC">
        <w:rPr>
          <w:rFonts w:ascii="Verdana" w:hAnsi="Verdana"/>
          <w:highlight w:val="yellow"/>
          <w:lang w:val="nb-NO"/>
        </w:rPr>
        <w:t xml:space="preserve"> endar og biðið verður um seinasta útgjald, skal endalig frágreiðing(íroknað saman</w:t>
      </w:r>
      <w:r w:rsidR="00133DBC" w:rsidRPr="00133DBC">
        <w:rPr>
          <w:rFonts w:ascii="Verdana" w:hAnsi="Verdana"/>
          <w:highlight w:val="yellow"/>
          <w:lang w:val="nb-NO"/>
        </w:rPr>
        <w:softHyphen/>
        <w:t>drátt til heimasíðuna), og grannskoð</w:t>
      </w:r>
      <w:r w:rsidR="00133DBC" w:rsidRPr="00133DBC">
        <w:rPr>
          <w:rFonts w:ascii="Verdana" w:hAnsi="Verdana"/>
          <w:highlight w:val="yellow"/>
          <w:lang w:val="nb-NO"/>
        </w:rPr>
        <w:softHyphen/>
        <w:t>að</w:t>
      </w:r>
      <w:r w:rsidR="00133DBC" w:rsidRPr="00133DBC">
        <w:rPr>
          <w:rFonts w:ascii="Verdana" w:hAnsi="Verdana"/>
          <w:highlight w:val="yellow"/>
          <w:lang w:val="nb-NO"/>
        </w:rPr>
        <w:softHyphen/>
        <w:t>ur/áteknaður roknskapur fyri alt tíðar</w:t>
      </w:r>
      <w:r w:rsidR="00133DBC" w:rsidRPr="00133DBC">
        <w:rPr>
          <w:rFonts w:ascii="Verdana" w:hAnsi="Verdana"/>
          <w:highlight w:val="yellow"/>
          <w:lang w:val="nb-NO"/>
        </w:rPr>
        <w:softHyphen/>
        <w:t>skeiðið sendast inn (treyt).</w:t>
      </w:r>
    </w:p>
    <w:p w14:paraId="13777DEF" w14:textId="77777777" w:rsidR="00CF289E" w:rsidRPr="00680DBE" w:rsidRDefault="00CF289E" w:rsidP="004D78EE">
      <w:pPr>
        <w:jc w:val="both"/>
        <w:rPr>
          <w:rFonts w:ascii="Verdana" w:hAnsi="Verdana"/>
          <w:lang w:val="nb-NO"/>
        </w:rPr>
      </w:pPr>
    </w:p>
    <w:p w14:paraId="6A270101" w14:textId="77777777" w:rsidR="00CF289E" w:rsidRPr="00680DBE" w:rsidRDefault="00CF289E" w:rsidP="004D78EE">
      <w:pPr>
        <w:jc w:val="both"/>
        <w:rPr>
          <w:lang w:val="nb-NO"/>
        </w:rPr>
      </w:pPr>
      <w:r w:rsidRPr="00680DBE">
        <w:rPr>
          <w:rFonts w:ascii="Verdana" w:hAnsi="Verdana"/>
          <w:lang w:val="nb-NO"/>
        </w:rPr>
        <w:t>Tá biðið verður um útgjald, skal skjalið "</w:t>
      </w:r>
      <w:r w:rsidRPr="00680DBE">
        <w:rPr>
          <w:rStyle w:val="Strk"/>
          <w:rFonts w:ascii="Verdana" w:hAnsi="Verdana"/>
          <w:u w:val="single"/>
          <w:lang w:val="nb-NO"/>
        </w:rPr>
        <w:t>Umbøn um útgjald</w:t>
      </w:r>
      <w:r w:rsidRPr="00680DBE">
        <w:rPr>
          <w:rFonts w:ascii="Verdana" w:hAnsi="Verdana"/>
          <w:lang w:val="nb-NO"/>
        </w:rPr>
        <w:t>” nýtast. Fyrstu ferð kann skjalið sendast inn einasamalt, men seinnu umbønirnar skulu sendast inn saman við eini ”</w:t>
      </w:r>
      <w:r w:rsidRPr="00680DBE">
        <w:rPr>
          <w:rStyle w:val="Strk"/>
          <w:rFonts w:ascii="Verdana" w:hAnsi="Verdana"/>
          <w:u w:val="single"/>
          <w:lang w:val="nb-NO"/>
        </w:rPr>
        <w:t>Ávegisfrágreiðing</w:t>
      </w:r>
      <w:r w:rsidRPr="00680DBE">
        <w:rPr>
          <w:rFonts w:ascii="Verdana" w:hAnsi="Verdana"/>
          <w:lang w:val="nb-NO"/>
        </w:rPr>
        <w:t>” og grannskoðaðum/áteknaðum roknskapi, sum greitt er frá omanfyri</w:t>
      </w:r>
    </w:p>
    <w:p w14:paraId="755E72A1" w14:textId="77777777" w:rsidR="00CF289E" w:rsidRDefault="00CF289E">
      <w:pPr>
        <w:rPr>
          <w:lang w:val="nb-NO"/>
        </w:rPr>
      </w:pPr>
    </w:p>
    <w:p w14:paraId="43608093" w14:textId="77777777" w:rsidR="00742A66" w:rsidRPr="00ED5EF8" w:rsidRDefault="00742A66" w:rsidP="00742A66">
      <w:pPr>
        <w:jc w:val="center"/>
        <w:rPr>
          <w:noProof/>
          <w:color w:val="000080"/>
          <w:spacing w:val="22"/>
          <w:lang w:val="nb-NO"/>
        </w:rPr>
      </w:pPr>
    </w:p>
    <w:p w14:paraId="68316B6E" w14:textId="77777777" w:rsidR="00742A66" w:rsidRPr="00ED5EF8" w:rsidRDefault="00742A66" w:rsidP="00ED5EF8">
      <w:pPr>
        <w:rPr>
          <w:noProof/>
          <w:color w:val="000080"/>
          <w:spacing w:val="22"/>
          <w:lang w:val="nb-NO"/>
        </w:rPr>
      </w:pPr>
    </w:p>
    <w:p w14:paraId="4AF3479B" w14:textId="77777777" w:rsidR="00742A66" w:rsidRPr="00ED5EF8" w:rsidRDefault="00742A66" w:rsidP="00742A66">
      <w:pPr>
        <w:jc w:val="center"/>
        <w:rPr>
          <w:noProof/>
          <w:color w:val="000080"/>
          <w:spacing w:val="22"/>
          <w:lang w:val="nb-NO"/>
        </w:rPr>
      </w:pPr>
    </w:p>
    <w:p w14:paraId="720EEDAE" w14:textId="77777777" w:rsidR="00742A66" w:rsidRPr="00ED5EF8" w:rsidRDefault="00742A66" w:rsidP="00742A66">
      <w:pPr>
        <w:jc w:val="center"/>
        <w:rPr>
          <w:rFonts w:ascii="Verdana" w:hAnsi="Verdana"/>
          <w:noProof/>
          <w:color w:val="4D4D4D"/>
          <w:spacing w:val="22"/>
          <w:sz w:val="20"/>
          <w:szCs w:val="20"/>
          <w:lang w:val="nb-NO"/>
        </w:rPr>
      </w:pPr>
    </w:p>
    <w:p w14:paraId="41C12D63" w14:textId="77777777" w:rsidR="00742A66" w:rsidRPr="00ED5EF8" w:rsidRDefault="00742A66" w:rsidP="00742A66">
      <w:pPr>
        <w:jc w:val="center"/>
        <w:rPr>
          <w:noProof/>
          <w:color w:val="4D4D4D"/>
          <w:spacing w:val="22"/>
          <w:sz w:val="20"/>
          <w:szCs w:val="20"/>
          <w:lang w:val="nb-NO"/>
        </w:rPr>
      </w:pPr>
    </w:p>
    <w:p w14:paraId="2AF70E80" w14:textId="6EA63B08" w:rsidR="00742A66" w:rsidRPr="00CF289E" w:rsidRDefault="00615F3C" w:rsidP="00742A66">
      <w:pPr>
        <w:jc w:val="both"/>
        <w:rPr>
          <w:lang w:val="nb-NO"/>
        </w:rPr>
      </w:pPr>
      <w:r>
        <w:rPr>
          <w:noProof/>
          <w:color w:val="4D4D4D"/>
          <w:spacing w:val="22"/>
          <w:sz w:val="20"/>
          <w:szCs w:val="20"/>
          <w:lang w:val="fo-FO" w:eastAsia="fo-FO"/>
        </w:rPr>
        <w:drawing>
          <wp:inline distT="0" distB="0" distL="0" distR="0" wp14:anchorId="62F40EAD" wp14:editId="47E3FC4E">
            <wp:extent cx="428625" cy="485775"/>
            <wp:effectExtent l="0" t="0" r="9525" b="9525"/>
            <wp:docPr id="1" name="Billede 1" descr="cid:image001.jpg@01CA894D.EC58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jpg@01CA894D.EC5857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A66">
        <w:rPr>
          <w:noProof/>
        </w:rPr>
        <w:t xml:space="preserve">      </w:t>
      </w:r>
      <w:r>
        <w:rPr>
          <w:noProof/>
          <w:lang w:val="fo-FO" w:eastAsia="fo-FO"/>
        </w:rPr>
        <w:drawing>
          <wp:inline distT="0" distB="0" distL="0" distR="0" wp14:anchorId="10532709" wp14:editId="610D50EB">
            <wp:extent cx="1257300" cy="428625"/>
            <wp:effectExtent l="0" t="0" r="0" b="9525"/>
            <wp:docPr id="2" name="Billede 4" descr="FiskiVinnuGransk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FiskiVinnuGransk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A66">
        <w:rPr>
          <w:noProof/>
        </w:rPr>
        <w:t xml:space="preserve"> </w:t>
      </w:r>
      <w:r w:rsidR="00ED5EF8">
        <w:rPr>
          <w:noProof/>
        </w:rPr>
        <w:t xml:space="preserve">                               </w:t>
      </w:r>
      <w:r w:rsidR="00742A66">
        <w:rPr>
          <w:noProof/>
        </w:rPr>
        <w:t xml:space="preserve">                  </w:t>
      </w:r>
    </w:p>
    <w:sectPr w:rsidR="00742A66" w:rsidRPr="00CF289E" w:rsidSect="004D78E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E"/>
    <w:rsid w:val="00000A85"/>
    <w:rsid w:val="00001725"/>
    <w:rsid w:val="000051CB"/>
    <w:rsid w:val="00012A18"/>
    <w:rsid w:val="000207D2"/>
    <w:rsid w:val="00025374"/>
    <w:rsid w:val="000341CE"/>
    <w:rsid w:val="00044F91"/>
    <w:rsid w:val="00055CF7"/>
    <w:rsid w:val="000653AE"/>
    <w:rsid w:val="0007522E"/>
    <w:rsid w:val="000852BC"/>
    <w:rsid w:val="00090088"/>
    <w:rsid w:val="000967DF"/>
    <w:rsid w:val="000C000B"/>
    <w:rsid w:val="000C0C49"/>
    <w:rsid w:val="000C3235"/>
    <w:rsid w:val="000D7CDF"/>
    <w:rsid w:val="00102F6C"/>
    <w:rsid w:val="00106F9B"/>
    <w:rsid w:val="0011352E"/>
    <w:rsid w:val="00126553"/>
    <w:rsid w:val="00133DBC"/>
    <w:rsid w:val="0014296E"/>
    <w:rsid w:val="0015066D"/>
    <w:rsid w:val="00157E0A"/>
    <w:rsid w:val="0016190E"/>
    <w:rsid w:val="0016487D"/>
    <w:rsid w:val="001C30BD"/>
    <w:rsid w:val="00205C09"/>
    <w:rsid w:val="002337D3"/>
    <w:rsid w:val="00241153"/>
    <w:rsid w:val="00260136"/>
    <w:rsid w:val="00265A9A"/>
    <w:rsid w:val="002A3BCD"/>
    <w:rsid w:val="002B227C"/>
    <w:rsid w:val="002B2BEE"/>
    <w:rsid w:val="002E7C93"/>
    <w:rsid w:val="0030398E"/>
    <w:rsid w:val="00304CA8"/>
    <w:rsid w:val="00311633"/>
    <w:rsid w:val="00323E8B"/>
    <w:rsid w:val="00355A05"/>
    <w:rsid w:val="0039232F"/>
    <w:rsid w:val="00396902"/>
    <w:rsid w:val="003973F3"/>
    <w:rsid w:val="003B5010"/>
    <w:rsid w:val="003B672A"/>
    <w:rsid w:val="003C0C8D"/>
    <w:rsid w:val="003C1443"/>
    <w:rsid w:val="003E080B"/>
    <w:rsid w:val="003E130F"/>
    <w:rsid w:val="003E4909"/>
    <w:rsid w:val="003F003E"/>
    <w:rsid w:val="003F4785"/>
    <w:rsid w:val="00423A8B"/>
    <w:rsid w:val="004849AE"/>
    <w:rsid w:val="004B4182"/>
    <w:rsid w:val="004D78EE"/>
    <w:rsid w:val="004E5249"/>
    <w:rsid w:val="004F2623"/>
    <w:rsid w:val="004F6C39"/>
    <w:rsid w:val="004F6EC0"/>
    <w:rsid w:val="00505E7A"/>
    <w:rsid w:val="00520DB0"/>
    <w:rsid w:val="005246F7"/>
    <w:rsid w:val="00547229"/>
    <w:rsid w:val="00552F96"/>
    <w:rsid w:val="00554197"/>
    <w:rsid w:val="0057508F"/>
    <w:rsid w:val="005A0ADE"/>
    <w:rsid w:val="005B654B"/>
    <w:rsid w:val="005D026B"/>
    <w:rsid w:val="00615F3C"/>
    <w:rsid w:val="00620E46"/>
    <w:rsid w:val="0062269B"/>
    <w:rsid w:val="00635D8C"/>
    <w:rsid w:val="00640AD4"/>
    <w:rsid w:val="00642B70"/>
    <w:rsid w:val="0064532D"/>
    <w:rsid w:val="006527A1"/>
    <w:rsid w:val="0066728B"/>
    <w:rsid w:val="00680DBE"/>
    <w:rsid w:val="006A2A67"/>
    <w:rsid w:val="006A5060"/>
    <w:rsid w:val="006B560E"/>
    <w:rsid w:val="006C1739"/>
    <w:rsid w:val="006D4A7E"/>
    <w:rsid w:val="006E060D"/>
    <w:rsid w:val="006E6859"/>
    <w:rsid w:val="00721E1A"/>
    <w:rsid w:val="007361DA"/>
    <w:rsid w:val="00742A66"/>
    <w:rsid w:val="00762B72"/>
    <w:rsid w:val="00777684"/>
    <w:rsid w:val="00784B32"/>
    <w:rsid w:val="0079422C"/>
    <w:rsid w:val="007B540F"/>
    <w:rsid w:val="00827763"/>
    <w:rsid w:val="00830BF3"/>
    <w:rsid w:val="00835E77"/>
    <w:rsid w:val="008375F5"/>
    <w:rsid w:val="00842596"/>
    <w:rsid w:val="00856241"/>
    <w:rsid w:val="008570A3"/>
    <w:rsid w:val="008A50CD"/>
    <w:rsid w:val="008A54C6"/>
    <w:rsid w:val="008A7032"/>
    <w:rsid w:val="008C569D"/>
    <w:rsid w:val="008D3949"/>
    <w:rsid w:val="008D4D7C"/>
    <w:rsid w:val="008E1914"/>
    <w:rsid w:val="008E75BB"/>
    <w:rsid w:val="00926B95"/>
    <w:rsid w:val="00927000"/>
    <w:rsid w:val="009418D1"/>
    <w:rsid w:val="009422F9"/>
    <w:rsid w:val="00963387"/>
    <w:rsid w:val="00983E5A"/>
    <w:rsid w:val="00985677"/>
    <w:rsid w:val="00996133"/>
    <w:rsid w:val="009975DF"/>
    <w:rsid w:val="009A35AA"/>
    <w:rsid w:val="009A62FB"/>
    <w:rsid w:val="009B54E0"/>
    <w:rsid w:val="009B6BEB"/>
    <w:rsid w:val="009C7293"/>
    <w:rsid w:val="009F3A79"/>
    <w:rsid w:val="00A17070"/>
    <w:rsid w:val="00A21DC1"/>
    <w:rsid w:val="00A24AAA"/>
    <w:rsid w:val="00A378EA"/>
    <w:rsid w:val="00A66E27"/>
    <w:rsid w:val="00A73023"/>
    <w:rsid w:val="00A82946"/>
    <w:rsid w:val="00AA63A0"/>
    <w:rsid w:val="00AD6614"/>
    <w:rsid w:val="00AD7315"/>
    <w:rsid w:val="00AE3997"/>
    <w:rsid w:val="00AF2E21"/>
    <w:rsid w:val="00AF68F4"/>
    <w:rsid w:val="00B03F3D"/>
    <w:rsid w:val="00B07B91"/>
    <w:rsid w:val="00B1185A"/>
    <w:rsid w:val="00B128C4"/>
    <w:rsid w:val="00B27AA3"/>
    <w:rsid w:val="00B54A46"/>
    <w:rsid w:val="00B70BE3"/>
    <w:rsid w:val="00B7291D"/>
    <w:rsid w:val="00B76AB2"/>
    <w:rsid w:val="00B94CE0"/>
    <w:rsid w:val="00BA40DE"/>
    <w:rsid w:val="00BA44C4"/>
    <w:rsid w:val="00BB3C1C"/>
    <w:rsid w:val="00BB7141"/>
    <w:rsid w:val="00BC1879"/>
    <w:rsid w:val="00BF2942"/>
    <w:rsid w:val="00C04E1F"/>
    <w:rsid w:val="00C062F9"/>
    <w:rsid w:val="00C06A99"/>
    <w:rsid w:val="00C4588C"/>
    <w:rsid w:val="00C45F08"/>
    <w:rsid w:val="00C5787F"/>
    <w:rsid w:val="00C63160"/>
    <w:rsid w:val="00C819FD"/>
    <w:rsid w:val="00C90C8F"/>
    <w:rsid w:val="00C97268"/>
    <w:rsid w:val="00CC3695"/>
    <w:rsid w:val="00CD55F0"/>
    <w:rsid w:val="00CD5690"/>
    <w:rsid w:val="00CE2152"/>
    <w:rsid w:val="00CE4F7D"/>
    <w:rsid w:val="00CF289E"/>
    <w:rsid w:val="00CF432C"/>
    <w:rsid w:val="00D01CC3"/>
    <w:rsid w:val="00D05082"/>
    <w:rsid w:val="00D42444"/>
    <w:rsid w:val="00D834EE"/>
    <w:rsid w:val="00D9045E"/>
    <w:rsid w:val="00DC1754"/>
    <w:rsid w:val="00DD11DA"/>
    <w:rsid w:val="00E12DAB"/>
    <w:rsid w:val="00E922FE"/>
    <w:rsid w:val="00EB6BE0"/>
    <w:rsid w:val="00EC5333"/>
    <w:rsid w:val="00ED5EF8"/>
    <w:rsid w:val="00EE1743"/>
    <w:rsid w:val="00EE1B2E"/>
    <w:rsid w:val="00EF3D53"/>
    <w:rsid w:val="00F22E24"/>
    <w:rsid w:val="00F348A0"/>
    <w:rsid w:val="00F35B79"/>
    <w:rsid w:val="00F40302"/>
    <w:rsid w:val="00F4069C"/>
    <w:rsid w:val="00F5486D"/>
    <w:rsid w:val="00F553FF"/>
    <w:rsid w:val="00F62BC0"/>
    <w:rsid w:val="00F672BC"/>
    <w:rsid w:val="00F821E0"/>
    <w:rsid w:val="00F85197"/>
    <w:rsid w:val="00F8535C"/>
    <w:rsid w:val="00F910E7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FDDCC"/>
  <w15:docId w15:val="{DB5596DB-2D84-415E-AD7F-F2F079F8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qFormat/>
    <w:rsid w:val="00CF289E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742A6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ED5E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D5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UMBØN UM ÚTGJALD</vt:lpstr>
      <vt:lpstr>UMBØN UM ÚTGJALD</vt:lpstr>
    </vt:vector>
  </TitlesOfParts>
  <Company>Fiskimálaráðið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UMBØN UM ÚTGJALD</dc:title>
  <dc:creator>Jákup Mørkøre</dc:creator>
  <cp:lastModifiedBy>Hans Albert Hansen</cp:lastModifiedBy>
  <cp:revision>4</cp:revision>
  <dcterms:created xsi:type="dcterms:W3CDTF">2021-07-13T13:32:00Z</dcterms:created>
  <dcterms:modified xsi:type="dcterms:W3CDTF">2021-07-15T13:55:00Z</dcterms:modified>
</cp:coreProperties>
</file>